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D87CE" w14:textId="3FCBBC25" w:rsidR="00385161" w:rsidRDefault="009C0942" w:rsidP="009C0942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5FDA931" wp14:editId="6F5076CB">
            <wp:extent cx="2414016" cy="120700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OA 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1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FC6E6" w14:textId="77777777" w:rsidR="00357D04" w:rsidRPr="00DD231B" w:rsidRDefault="00DD231B" w:rsidP="00357D04">
      <w:pPr>
        <w:jc w:val="center"/>
        <w:rPr>
          <w:b/>
        </w:rPr>
      </w:pPr>
      <w:r w:rsidRPr="00DD231B">
        <w:rPr>
          <w:b/>
        </w:rPr>
        <w:t>Emergency Preparedness for Persons with Disabilities</w:t>
      </w:r>
      <w:r w:rsidR="0029615C">
        <w:rPr>
          <w:b/>
        </w:rPr>
        <w:t xml:space="preserve"> </w:t>
      </w:r>
      <w:r w:rsidR="000A6D72">
        <w:rPr>
          <w:b/>
        </w:rPr>
        <w:t xml:space="preserve">– </w:t>
      </w:r>
      <w:r w:rsidR="00811A98">
        <w:rPr>
          <w:b/>
        </w:rPr>
        <w:t>Businesses and Employers</w:t>
      </w:r>
    </w:p>
    <w:p w14:paraId="5B4E2FF5" w14:textId="77777777" w:rsidR="00A334C4" w:rsidRDefault="00A334C4" w:rsidP="00A334C4">
      <w:pPr>
        <w:jc w:val="center"/>
      </w:pPr>
      <w:r>
        <w:t>Access Oceanside Association gratefully acknowledged funding for this project from the Parksville Qualicum Foundation</w:t>
      </w:r>
    </w:p>
    <w:p w14:paraId="6192B201" w14:textId="77777777" w:rsidR="00DD231B" w:rsidRDefault="00DD231B" w:rsidP="00DD231B">
      <w:pPr>
        <w:jc w:val="center"/>
      </w:pPr>
    </w:p>
    <w:p w14:paraId="53C3AEB2" w14:textId="77777777" w:rsidR="00DD231B" w:rsidRPr="00D43B37" w:rsidRDefault="00DD231B" w:rsidP="00DD231B">
      <w:pPr>
        <w:rPr>
          <w:b/>
        </w:rPr>
      </w:pPr>
      <w:r w:rsidRPr="00D43B37">
        <w:rPr>
          <w:b/>
        </w:rPr>
        <w:t>Background</w:t>
      </w:r>
    </w:p>
    <w:p w14:paraId="1511D6CE" w14:textId="77777777" w:rsidR="00DD231B" w:rsidRDefault="00576D8A" w:rsidP="00DD231B">
      <w:r>
        <w:t>D</w:t>
      </w:r>
      <w:r w:rsidRPr="00576D8A">
        <w:t xml:space="preserve">isasters – natural (e.g., hurricane, earthquake, etc.) or human involved (e.g., terrorist attack) </w:t>
      </w:r>
      <w:r>
        <w:t>(McClure et al., 2011)</w:t>
      </w:r>
      <w:r w:rsidR="0029615C">
        <w:t xml:space="preserve"> </w:t>
      </w:r>
      <w:r w:rsidRPr="00576D8A">
        <w:t xml:space="preserve">– can happen anywhere at any time. </w:t>
      </w:r>
      <w:r w:rsidR="0029615C">
        <w:t>You m</w:t>
      </w:r>
      <w:r w:rsidRPr="00576D8A">
        <w:t>ay have advance warning</w:t>
      </w:r>
      <w:r w:rsidR="0067539E">
        <w:t>,</w:t>
      </w:r>
      <w:r w:rsidRPr="00576D8A">
        <w:t xml:space="preserve"> or not.</w:t>
      </w:r>
      <w:r>
        <w:t xml:space="preserve"> Some geographic locations more at risk for certain types of natural disasters (Baker &amp; Cormier, 2013)</w:t>
      </w:r>
      <w:r w:rsidR="0029615C">
        <w:t>. F</w:t>
      </w:r>
      <w:r>
        <w:t>or example</w:t>
      </w:r>
      <w:r w:rsidR="0029615C">
        <w:t>,</w:t>
      </w:r>
      <w:r>
        <w:t xml:space="preserve"> </w:t>
      </w:r>
      <w:r w:rsidR="0029615C">
        <w:t xml:space="preserve">in </w:t>
      </w:r>
      <w:r>
        <w:t xml:space="preserve">BC </w:t>
      </w:r>
      <w:r w:rsidR="0029615C">
        <w:t xml:space="preserve">we may experience </w:t>
      </w:r>
      <w:r>
        <w:t>earthquakes</w:t>
      </w:r>
      <w:r w:rsidR="0029615C">
        <w:t>. O</w:t>
      </w:r>
      <w:r>
        <w:t>ther natural disasters can strike anywhere</w:t>
      </w:r>
      <w:r w:rsidR="0029615C">
        <w:t>. For example</w:t>
      </w:r>
      <w:r w:rsidR="0067539E">
        <w:t>,</w:t>
      </w:r>
      <w:r w:rsidR="0029615C">
        <w:t xml:space="preserve"> </w:t>
      </w:r>
      <w:r>
        <w:t>storms, flooding,</w:t>
      </w:r>
      <w:r w:rsidR="0029615C">
        <w:t xml:space="preserve"> and </w:t>
      </w:r>
      <w:r>
        <w:t>power outages</w:t>
      </w:r>
      <w:r w:rsidR="0029615C">
        <w:t xml:space="preserve"> can happen regardless of location</w:t>
      </w:r>
      <w:r>
        <w:t>.</w:t>
      </w:r>
    </w:p>
    <w:p w14:paraId="686A6524" w14:textId="77777777" w:rsidR="00771CB2" w:rsidRPr="00E50868" w:rsidRDefault="00771CB2" w:rsidP="00DD231B">
      <w:pPr>
        <w:rPr>
          <w:u w:val="single"/>
        </w:rPr>
      </w:pPr>
      <w:r w:rsidRPr="00E50868">
        <w:rPr>
          <w:u w:val="single"/>
        </w:rPr>
        <w:t>Persons with Disability</w:t>
      </w:r>
    </w:p>
    <w:p w14:paraId="54B6FAC8" w14:textId="77777777" w:rsidR="00D21918" w:rsidRDefault="00576D8A" w:rsidP="00DD231B">
      <w:r>
        <w:t>P</w:t>
      </w:r>
      <w:r w:rsidR="0029615C">
        <w:t>ersons with disabilities</w:t>
      </w:r>
      <w:r>
        <w:t xml:space="preserve"> tend to be more </w:t>
      </w:r>
      <w:r w:rsidR="00D21918">
        <w:t>vulnerable</w:t>
      </w:r>
      <w:r w:rsidR="00AB789C">
        <w:t>, along with older adults and medically dependent individuals</w:t>
      </w:r>
      <w:r w:rsidR="007C31F8">
        <w:t xml:space="preserve"> (</w:t>
      </w:r>
      <w:proofErr w:type="spellStart"/>
      <w:r w:rsidR="007C31F8">
        <w:t>Levac</w:t>
      </w:r>
      <w:proofErr w:type="spellEnd"/>
      <w:r w:rsidR="007C31F8">
        <w:t xml:space="preserve"> et al., 2012)</w:t>
      </w:r>
      <w:r w:rsidR="00D21918">
        <w:t xml:space="preserve">, to </w:t>
      </w:r>
      <w:r w:rsidR="0067539E">
        <w:t>disproportionally</w:t>
      </w:r>
      <w:r w:rsidR="00D21918">
        <w:t xml:space="preserve"> adverse consequences </w:t>
      </w:r>
      <w:r w:rsidR="0067539E">
        <w:t xml:space="preserve">of emergencies </w:t>
      </w:r>
      <w:r w:rsidR="00422BCE">
        <w:t>(Fox et al., 2007)</w:t>
      </w:r>
      <w:r w:rsidR="0029615C">
        <w:t xml:space="preserve">.  This is because they may be </w:t>
      </w:r>
      <w:r w:rsidR="00D21918">
        <w:t xml:space="preserve">unable to take protective action (Murray, 2011); </w:t>
      </w:r>
      <w:r w:rsidR="0029615C">
        <w:t xml:space="preserve">it is too </w:t>
      </w:r>
      <w:r w:rsidR="00D21918">
        <w:t xml:space="preserve">dangerous </w:t>
      </w:r>
      <w:r w:rsidR="0029615C">
        <w:t xml:space="preserve">to </w:t>
      </w:r>
      <w:r w:rsidR="00D21918">
        <w:t>evac</w:t>
      </w:r>
      <w:r w:rsidR="0029615C">
        <w:t>uate</w:t>
      </w:r>
      <w:r w:rsidR="00D21918">
        <w:t xml:space="preserve">, </w:t>
      </w:r>
      <w:r w:rsidR="0029615C">
        <w:t xml:space="preserve">they are more affected by </w:t>
      </w:r>
      <w:r w:rsidR="00D21918">
        <w:t xml:space="preserve">unfamiliar surroundings </w:t>
      </w:r>
      <w:r w:rsidR="0029615C">
        <w:t xml:space="preserve">and </w:t>
      </w:r>
      <w:r w:rsidR="00D21918">
        <w:t xml:space="preserve">change of routine, </w:t>
      </w:r>
      <w:r w:rsidR="0029615C">
        <w:t>and</w:t>
      </w:r>
      <w:r w:rsidR="0067539E">
        <w:t>/or</w:t>
      </w:r>
      <w:r w:rsidR="0029615C">
        <w:t xml:space="preserve"> their </w:t>
      </w:r>
      <w:r w:rsidR="00D21918">
        <w:t>support systems fal</w:t>
      </w:r>
      <w:r w:rsidR="0029615C">
        <w:t>l apart (Rothman &amp; Brown, 2007). Other factors include that their</w:t>
      </w:r>
      <w:r w:rsidR="00D21918">
        <w:t xml:space="preserve"> </w:t>
      </w:r>
      <w:r w:rsidR="0067539E">
        <w:t xml:space="preserve">needed </w:t>
      </w:r>
      <w:r w:rsidR="00D21918">
        <w:t xml:space="preserve">assistive devices </w:t>
      </w:r>
      <w:r w:rsidR="0029615C">
        <w:t xml:space="preserve">may be </w:t>
      </w:r>
      <w:r w:rsidR="00D21918">
        <w:t>left behind (Rooney &amp; White, 2007)</w:t>
      </w:r>
      <w:r w:rsidR="007C31F8">
        <w:t xml:space="preserve"> </w:t>
      </w:r>
      <w:r w:rsidR="0067539E">
        <w:t xml:space="preserve">and </w:t>
      </w:r>
      <w:r w:rsidR="0029615C">
        <w:t xml:space="preserve">a </w:t>
      </w:r>
      <w:r w:rsidR="007C31F8">
        <w:t>lack of access to medical records (Jan &amp; Lurie, 2012)</w:t>
      </w:r>
      <w:r w:rsidR="0067539E">
        <w:t xml:space="preserve">. Most shockingly, </w:t>
      </w:r>
      <w:r w:rsidR="0029615C">
        <w:t xml:space="preserve">persons with disabilities </w:t>
      </w:r>
      <w:r w:rsidR="00D71D37">
        <w:t>may be left behind</w:t>
      </w:r>
      <w:r w:rsidR="0029615C">
        <w:t>/</w:t>
      </w:r>
      <w:r w:rsidR="00D71D37">
        <w:t>abandoned (Rushford, 2015)</w:t>
      </w:r>
      <w:r w:rsidR="00C770F4">
        <w:t>.</w:t>
      </w:r>
    </w:p>
    <w:p w14:paraId="0ABFA94B" w14:textId="77777777" w:rsidR="00D21918" w:rsidRDefault="007C31F8" w:rsidP="00DD231B">
      <w:r>
        <w:t xml:space="preserve">Among </w:t>
      </w:r>
      <w:r w:rsidR="0029615C">
        <w:t>perso</w:t>
      </w:r>
      <w:r w:rsidR="0067539E">
        <w:t>n</w:t>
      </w:r>
      <w:r w:rsidR="0029615C">
        <w:t xml:space="preserve">s with disabilities, the most </w:t>
      </w:r>
      <w:r>
        <w:t xml:space="preserve">vulnerable </w:t>
      </w:r>
      <w:r w:rsidR="0029615C">
        <w:t>include</w:t>
      </w:r>
      <w:r>
        <w:t xml:space="preserve"> children (Murray, 2011); </w:t>
      </w:r>
      <w:r w:rsidR="0029615C">
        <w:t xml:space="preserve">those with the </w:t>
      </w:r>
      <w:r>
        <w:t>lowest functional level</w:t>
      </w:r>
      <w:r w:rsidR="0029615C">
        <w:t xml:space="preserve"> and/or the </w:t>
      </w:r>
      <w:r>
        <w:t>most severe disability (</w:t>
      </w:r>
      <w:proofErr w:type="spellStart"/>
      <w:r>
        <w:t>Tomio</w:t>
      </w:r>
      <w:proofErr w:type="spellEnd"/>
      <w:r>
        <w:t xml:space="preserve"> et al., 2012); </w:t>
      </w:r>
      <w:r w:rsidR="0029615C">
        <w:t xml:space="preserve">those who live in </w:t>
      </w:r>
      <w:r w:rsidR="00494804">
        <w:t>social isolation (</w:t>
      </w:r>
      <w:r w:rsidR="00C54DD3">
        <w:t>Al</w:t>
      </w:r>
      <w:r w:rsidR="00C770F4">
        <w:t>-</w:t>
      </w:r>
      <w:proofErr w:type="spellStart"/>
      <w:r w:rsidR="00C770F4">
        <w:t>r</w:t>
      </w:r>
      <w:r w:rsidR="00C54DD3">
        <w:t>ousan</w:t>
      </w:r>
      <w:proofErr w:type="spellEnd"/>
      <w:r w:rsidR="00C54DD3">
        <w:t xml:space="preserve"> et al., </w:t>
      </w:r>
      <w:r w:rsidR="00494804">
        <w:t>2015)</w:t>
      </w:r>
      <w:r w:rsidR="0029615C">
        <w:t>,</w:t>
      </w:r>
      <w:r w:rsidR="00494804">
        <w:t xml:space="preserve"> </w:t>
      </w:r>
      <w:r>
        <w:t xml:space="preserve">and those with </w:t>
      </w:r>
      <w:r w:rsidRPr="009975C7">
        <w:t>cognitive impairment</w:t>
      </w:r>
      <w:r>
        <w:t xml:space="preserve"> </w:t>
      </w:r>
      <w:r w:rsidR="009975C7">
        <w:t>(Rothman &amp; Brown, 2007).</w:t>
      </w:r>
    </w:p>
    <w:p w14:paraId="75CE6587" w14:textId="77777777" w:rsidR="00576D8A" w:rsidRDefault="00576D8A" w:rsidP="00DD231B">
      <w:r>
        <w:t>P</w:t>
      </w:r>
      <w:r w:rsidR="0029615C">
        <w:t>ersons with disability are</w:t>
      </w:r>
      <w:r>
        <w:t xml:space="preserve"> often less prepared</w:t>
      </w:r>
      <w:r w:rsidR="00771CB2">
        <w:t xml:space="preserve"> (</w:t>
      </w:r>
      <w:proofErr w:type="spellStart"/>
      <w:r w:rsidR="007C31F8">
        <w:t>Levac</w:t>
      </w:r>
      <w:proofErr w:type="spellEnd"/>
      <w:r w:rsidR="007C31F8">
        <w:t xml:space="preserve"> et al., 2012; </w:t>
      </w:r>
      <w:proofErr w:type="spellStart"/>
      <w:r w:rsidR="00771CB2">
        <w:t>Tomio</w:t>
      </w:r>
      <w:proofErr w:type="spellEnd"/>
      <w:r w:rsidR="00771CB2">
        <w:t xml:space="preserve"> et al., 2012)</w:t>
      </w:r>
      <w:r w:rsidR="00AB789C">
        <w:t xml:space="preserve"> </w:t>
      </w:r>
      <w:r w:rsidR="0029615C">
        <w:t xml:space="preserve">due to a combination of factors., including </w:t>
      </w:r>
      <w:r w:rsidR="00AB789C">
        <w:t>lack of time</w:t>
      </w:r>
      <w:r w:rsidR="0029615C">
        <w:t xml:space="preserve"> or money</w:t>
      </w:r>
      <w:r w:rsidR="00AB789C">
        <w:t xml:space="preserve"> to purchase supplies, </w:t>
      </w:r>
      <w:r w:rsidR="0029615C">
        <w:t xml:space="preserve">lack of </w:t>
      </w:r>
      <w:r w:rsidR="00AB789C">
        <w:t>info</w:t>
      </w:r>
      <w:r w:rsidR="0029615C">
        <w:t>rmation</w:t>
      </w:r>
      <w:r w:rsidR="00AB789C">
        <w:t xml:space="preserve">, disbelief in risk </w:t>
      </w:r>
      <w:r w:rsidR="00AB789C" w:rsidRPr="00AB789C">
        <w:t>(</w:t>
      </w:r>
      <w:proofErr w:type="spellStart"/>
      <w:r w:rsidR="00AB789C" w:rsidRPr="00AB789C">
        <w:t>Levac</w:t>
      </w:r>
      <w:proofErr w:type="spellEnd"/>
      <w:r w:rsidR="00AB789C" w:rsidRPr="00AB789C">
        <w:t xml:space="preserve"> et al., 2012)</w:t>
      </w:r>
      <w:r w:rsidR="0029615C">
        <w:t>,</w:t>
      </w:r>
      <w:r w:rsidR="00AB789C">
        <w:t xml:space="preserve"> </w:t>
      </w:r>
      <w:r w:rsidR="0029615C">
        <w:t xml:space="preserve">or </w:t>
      </w:r>
      <w:r w:rsidR="00AB789C">
        <w:t>trust</w:t>
      </w:r>
      <w:r w:rsidR="0029615C">
        <w:t xml:space="preserve"> in authorities and </w:t>
      </w:r>
      <w:r w:rsidR="00AB789C">
        <w:t>expectation of rescue</w:t>
      </w:r>
      <w:r w:rsidR="0067539E">
        <w:t xml:space="preserve"> (</w:t>
      </w:r>
      <w:proofErr w:type="spellStart"/>
      <w:r w:rsidR="0067539E">
        <w:t>Hogaboom</w:t>
      </w:r>
      <w:proofErr w:type="spellEnd"/>
      <w:r w:rsidR="0067539E">
        <w:t xml:space="preserve"> et al., 2013). </w:t>
      </w:r>
      <w:r w:rsidR="00D84B21">
        <w:t>Some may be unable, due to disability, to engage in preparedness activities (</w:t>
      </w:r>
      <w:proofErr w:type="spellStart"/>
      <w:r w:rsidR="00D84B21">
        <w:t>Tomio</w:t>
      </w:r>
      <w:proofErr w:type="spellEnd"/>
      <w:r w:rsidR="00D84B21">
        <w:t xml:space="preserve">, </w:t>
      </w:r>
      <w:r w:rsidR="009A692D">
        <w:t>e</w:t>
      </w:r>
      <w:r w:rsidR="00D84B21">
        <w:t>t</w:t>
      </w:r>
      <w:r w:rsidR="009A692D">
        <w:t xml:space="preserve"> al., 2012)</w:t>
      </w:r>
      <w:r w:rsidR="0029615C">
        <w:t>.  Even worse, some may feel</w:t>
      </w:r>
      <w:r w:rsidR="007C31F8">
        <w:t xml:space="preserve"> prepared but </w:t>
      </w:r>
      <w:r w:rsidR="0029615C">
        <w:t>are not</w:t>
      </w:r>
      <w:r w:rsidR="007C31F8">
        <w:t xml:space="preserve"> adequately </w:t>
      </w:r>
      <w:r w:rsidR="0029615C">
        <w:t xml:space="preserve">prepared </w:t>
      </w:r>
      <w:r w:rsidR="007C31F8">
        <w:t>(</w:t>
      </w:r>
      <w:proofErr w:type="spellStart"/>
      <w:r w:rsidR="007C31F8">
        <w:t>Hogaboom</w:t>
      </w:r>
      <w:proofErr w:type="spellEnd"/>
      <w:r w:rsidR="007C31F8">
        <w:t xml:space="preserve"> et al., 2013)</w:t>
      </w:r>
      <w:r w:rsidR="0029615C">
        <w:t>.</w:t>
      </w:r>
    </w:p>
    <w:p w14:paraId="0A19F098" w14:textId="77777777" w:rsidR="0067539E" w:rsidRDefault="00771CB2" w:rsidP="00DD231B">
      <w:r>
        <w:t>P</w:t>
      </w:r>
      <w:r w:rsidR="0067539E">
        <w:t>ersons with disability</w:t>
      </w:r>
      <w:r>
        <w:t xml:space="preserve"> </w:t>
      </w:r>
      <w:r w:rsidR="00D71D37">
        <w:t xml:space="preserve">may say </w:t>
      </w:r>
      <w:r w:rsidR="0067539E">
        <w:t xml:space="preserve">they </w:t>
      </w:r>
      <w:r w:rsidR="00D71D37">
        <w:t>can evac</w:t>
      </w:r>
      <w:r w:rsidR="0067539E">
        <w:t xml:space="preserve">uate </w:t>
      </w:r>
      <w:r w:rsidR="00D71D37">
        <w:t xml:space="preserve">but </w:t>
      </w:r>
      <w:r w:rsidR="0067539E">
        <w:t xml:space="preserve">have </w:t>
      </w:r>
      <w:r w:rsidR="00D71D37">
        <w:t>no actual plan (McClure et al., 2011)</w:t>
      </w:r>
      <w:r w:rsidR="0067539E">
        <w:t>. In fact, persons with disabilities are</w:t>
      </w:r>
      <w:r w:rsidR="00D71D37">
        <w:t xml:space="preserve"> </w:t>
      </w:r>
      <w:r>
        <w:t>less likely to have evac</w:t>
      </w:r>
      <w:r w:rsidR="0067539E">
        <w:t>uation</w:t>
      </w:r>
      <w:r>
        <w:t xml:space="preserve"> plan</w:t>
      </w:r>
      <w:r w:rsidR="0067539E">
        <w:t>s</w:t>
      </w:r>
      <w:r>
        <w:t xml:space="preserve"> (Spence et al., 2007)</w:t>
      </w:r>
      <w:r w:rsidR="0067539E">
        <w:t xml:space="preserve">.  The one area in </w:t>
      </w:r>
      <w:r w:rsidR="0067539E">
        <w:lastRenderedPageBreak/>
        <w:t xml:space="preserve">with persons with disabilities may be more prepared than persons without disabilities is in terms of </w:t>
      </w:r>
      <w:r w:rsidR="00AB789C">
        <w:t xml:space="preserve">medical </w:t>
      </w:r>
      <w:r w:rsidR="0067539E">
        <w:t xml:space="preserve">preparation, such as </w:t>
      </w:r>
      <w:r w:rsidR="00AB789C">
        <w:t>stockpiling medications (</w:t>
      </w:r>
      <w:proofErr w:type="spellStart"/>
      <w:r>
        <w:t>Tomio</w:t>
      </w:r>
      <w:proofErr w:type="spellEnd"/>
      <w:r>
        <w:t xml:space="preserve"> et al., 2012)</w:t>
      </w:r>
      <w:r w:rsidR="0067539E">
        <w:t>.</w:t>
      </w:r>
    </w:p>
    <w:p w14:paraId="202FB723" w14:textId="77777777" w:rsidR="00AB789C" w:rsidRDefault="0067539E" w:rsidP="00DD231B">
      <w:r>
        <w:t xml:space="preserve">Persons with disabilities </w:t>
      </w:r>
      <w:r w:rsidR="00AB789C">
        <w:t>and informal caregivers</w:t>
      </w:r>
      <w:r>
        <w:t xml:space="preserve"> are </w:t>
      </w:r>
      <w:r w:rsidR="00AB789C">
        <w:t>less likely to evac</w:t>
      </w:r>
      <w:r>
        <w:t xml:space="preserve">uate, even under mandatory evacuation </w:t>
      </w:r>
      <w:r w:rsidR="00AB789C">
        <w:t>order</w:t>
      </w:r>
      <w:r>
        <w:t>s, because they are</w:t>
      </w:r>
      <w:r w:rsidR="00AB789C">
        <w:t xml:space="preserve"> unable physically, </w:t>
      </w:r>
      <w:r>
        <w:t xml:space="preserve">there is a </w:t>
      </w:r>
      <w:r w:rsidR="00AB789C">
        <w:t>lack of accessible transport</w:t>
      </w:r>
      <w:r>
        <w:t>atio</w:t>
      </w:r>
      <w:r w:rsidR="00AB789C">
        <w:t>n</w:t>
      </w:r>
      <w:r w:rsidR="00D21918">
        <w:t xml:space="preserve"> </w:t>
      </w:r>
      <w:r w:rsidR="00E131FD">
        <w:t xml:space="preserve">(Brodie et al., 2006; </w:t>
      </w:r>
      <w:r w:rsidR="00D21918">
        <w:t>Rooney &amp; White, 2007</w:t>
      </w:r>
      <w:r w:rsidR="00D71D37">
        <w:t xml:space="preserve">; Smith &amp; </w:t>
      </w:r>
      <w:proofErr w:type="spellStart"/>
      <w:r w:rsidR="00D71D37">
        <w:t>Notaro</w:t>
      </w:r>
      <w:proofErr w:type="spellEnd"/>
      <w:r w:rsidR="00D71D37">
        <w:t>, 2009</w:t>
      </w:r>
      <w:r w:rsidR="00D21918">
        <w:t>)</w:t>
      </w:r>
      <w:r w:rsidR="00AB789C">
        <w:t xml:space="preserve">, </w:t>
      </w:r>
      <w:r>
        <w:t xml:space="preserve">and </w:t>
      </w:r>
      <w:r w:rsidR="00D21918">
        <w:t xml:space="preserve">elevators shut down and </w:t>
      </w:r>
      <w:r>
        <w:t>there is no</w:t>
      </w:r>
      <w:r w:rsidR="00D21918">
        <w:t xml:space="preserve"> alternative</w:t>
      </w:r>
      <w:r>
        <w:t xml:space="preserve"> way out</w:t>
      </w:r>
      <w:r w:rsidR="00D21918">
        <w:t xml:space="preserve"> (Rooney &amp; White, 2007)</w:t>
      </w:r>
      <w:r>
        <w:t xml:space="preserve">. Persons with disabilities who have not evacuated state that they did </w:t>
      </w:r>
      <w:r w:rsidR="00E131FD" w:rsidRPr="00E131FD">
        <w:t xml:space="preserve">not </w:t>
      </w:r>
      <w:r>
        <w:t xml:space="preserve">learn about the </w:t>
      </w:r>
      <w:r w:rsidR="00E131FD" w:rsidRPr="00E131FD">
        <w:t>evac</w:t>
      </w:r>
      <w:r>
        <w:t>uation</w:t>
      </w:r>
      <w:r w:rsidR="00E131FD" w:rsidRPr="00E131FD">
        <w:t xml:space="preserve"> order, </w:t>
      </w:r>
      <w:r>
        <w:t xml:space="preserve">did </w:t>
      </w:r>
      <w:r w:rsidR="00E131FD" w:rsidRPr="00E131FD">
        <w:t>not know how</w:t>
      </w:r>
      <w:r>
        <w:t xml:space="preserve"> or to where</w:t>
      </w:r>
      <w:r w:rsidR="00E131FD" w:rsidRPr="00E131FD">
        <w:t xml:space="preserve"> to evac</w:t>
      </w:r>
      <w:r>
        <w:t>ua</w:t>
      </w:r>
      <w:r w:rsidR="00E131FD" w:rsidRPr="00E131FD">
        <w:t>t</w:t>
      </w:r>
      <w:r>
        <w:t>e</w:t>
      </w:r>
      <w:r w:rsidR="00E131FD" w:rsidRPr="00E131FD">
        <w:t xml:space="preserve">, </w:t>
      </w:r>
      <w:r>
        <w:t>or they chose to stay</w:t>
      </w:r>
      <w:r w:rsidR="00E131FD" w:rsidRPr="00E131FD">
        <w:t xml:space="preserve"> (Brodie et al., 2006)</w:t>
      </w:r>
      <w:r>
        <w:t xml:space="preserve">. People with disabilities chose </w:t>
      </w:r>
      <w:r w:rsidR="00E131FD">
        <w:t xml:space="preserve">to stay because </w:t>
      </w:r>
      <w:r>
        <w:t>they were</w:t>
      </w:r>
      <w:r w:rsidR="00E131FD">
        <w:t xml:space="preserve"> unable to leave due to disability or </w:t>
      </w:r>
      <w:r>
        <w:t xml:space="preserve">were the </w:t>
      </w:r>
      <w:r w:rsidR="00E131FD">
        <w:t xml:space="preserve">carer of </w:t>
      </w:r>
      <w:r>
        <w:t>a person with disability who was u</w:t>
      </w:r>
      <w:r w:rsidR="00E131FD">
        <w:t>nable to leave (Brodie et al., 2006)</w:t>
      </w:r>
      <w:r>
        <w:t>.</w:t>
      </w:r>
    </w:p>
    <w:p w14:paraId="61916ADE" w14:textId="77777777" w:rsidR="00AE6D31" w:rsidRDefault="00AE6D31" w:rsidP="00DD231B">
      <w:pPr>
        <w:rPr>
          <w:i/>
        </w:rPr>
      </w:pPr>
    </w:p>
    <w:p w14:paraId="22BDA67C" w14:textId="77777777" w:rsidR="008B4414" w:rsidRDefault="000C673D" w:rsidP="000C673D">
      <w:pPr>
        <w:rPr>
          <w:b/>
        </w:rPr>
      </w:pPr>
      <w:r w:rsidRPr="000C673D">
        <w:rPr>
          <w:b/>
        </w:rPr>
        <w:t>Recommendations</w:t>
      </w:r>
      <w:r>
        <w:rPr>
          <w:b/>
        </w:rPr>
        <w:t xml:space="preserve"> </w:t>
      </w:r>
      <w:r w:rsidR="00357D04">
        <w:rPr>
          <w:b/>
        </w:rPr>
        <w:t xml:space="preserve">for </w:t>
      </w:r>
      <w:r w:rsidR="008B4414">
        <w:rPr>
          <w:b/>
        </w:rPr>
        <w:t>Businesses and Employers</w:t>
      </w:r>
    </w:p>
    <w:p w14:paraId="60A8A2BC" w14:textId="77777777" w:rsidR="007E70F7" w:rsidRPr="007E70F7" w:rsidRDefault="007E70F7" w:rsidP="007E70F7">
      <w:r w:rsidRPr="007E70F7">
        <w:rPr>
          <w:i/>
        </w:rPr>
        <w:t>If planning does not embrace the value that everyone should survive, they will not</w:t>
      </w:r>
      <w:r w:rsidRPr="007E70F7">
        <w:t xml:space="preserve"> (Federal Report, 2006, p. 1350).</w:t>
      </w:r>
    </w:p>
    <w:p w14:paraId="4077EF46" w14:textId="77777777" w:rsidR="008B4414" w:rsidRPr="00C13DBD" w:rsidRDefault="008B4414" w:rsidP="008B4414">
      <w:pPr>
        <w:numPr>
          <w:ilvl w:val="0"/>
          <w:numId w:val="4"/>
        </w:numPr>
        <w:contextualSpacing/>
      </w:pPr>
      <w:r w:rsidRPr="00C13DBD">
        <w:t>Establish an accessibility committee, with membership from persons with disabilities and others, to plan for emergencies (Rooney &amp; White, 2007).</w:t>
      </w:r>
    </w:p>
    <w:p w14:paraId="54231643" w14:textId="77777777" w:rsidR="008B4414" w:rsidRDefault="008B4414" w:rsidP="008B4414">
      <w:pPr>
        <w:numPr>
          <w:ilvl w:val="0"/>
          <w:numId w:val="4"/>
        </w:numPr>
        <w:contextualSpacing/>
      </w:pPr>
      <w:r w:rsidRPr="00C13DBD">
        <w:t>Have evacuation plans for employees or clients with disabilities (Loy et al., 2006).</w:t>
      </w:r>
    </w:p>
    <w:p w14:paraId="6119ED44" w14:textId="77777777" w:rsidR="008B4414" w:rsidRPr="00C13DBD" w:rsidRDefault="008B4414" w:rsidP="008B4414">
      <w:pPr>
        <w:numPr>
          <w:ilvl w:val="0"/>
          <w:numId w:val="4"/>
        </w:numPr>
        <w:contextualSpacing/>
      </w:pPr>
      <w:r>
        <w:t xml:space="preserve">Ensure you have </w:t>
      </w:r>
      <w:r w:rsidRPr="008C5783">
        <w:t>visual as well as audible alarms</w:t>
      </w:r>
      <w:r w:rsidR="008C5783">
        <w:t xml:space="preserve"> (Loy et al., 2006).</w:t>
      </w:r>
      <w:r w:rsidR="002214FF">
        <w:t xml:space="preserve"> </w:t>
      </w:r>
    </w:p>
    <w:p w14:paraId="3AB03D3E" w14:textId="77777777" w:rsidR="008B4414" w:rsidRPr="00C13DBD" w:rsidRDefault="008B4414" w:rsidP="008B4414">
      <w:pPr>
        <w:numPr>
          <w:ilvl w:val="0"/>
          <w:numId w:val="4"/>
        </w:numPr>
        <w:contextualSpacing/>
      </w:pPr>
      <w:r w:rsidRPr="00C13DBD">
        <w:t>Depending on structure/location</w:t>
      </w:r>
      <w:r w:rsidR="00A869AE">
        <w:t>,</w:t>
      </w:r>
      <w:r w:rsidRPr="00C13DBD">
        <w:t xml:space="preserve"> purchase emergency evacuation equipment (Loy et al., 2006; Rooney &amp; White, 2007).</w:t>
      </w:r>
    </w:p>
    <w:p w14:paraId="162A50D0" w14:textId="77777777" w:rsidR="008B4414" w:rsidRPr="00C13DBD" w:rsidRDefault="008B4414" w:rsidP="008B4414">
      <w:pPr>
        <w:numPr>
          <w:ilvl w:val="0"/>
          <w:numId w:val="4"/>
        </w:numPr>
        <w:contextualSpacing/>
      </w:pPr>
      <w:r w:rsidRPr="00C13DBD">
        <w:t>Have visual as well as auditory alerting devices/alarms (Loy et al., 2006).</w:t>
      </w:r>
    </w:p>
    <w:p w14:paraId="706AF481" w14:textId="77777777" w:rsidR="008B4414" w:rsidRPr="00C13DBD" w:rsidRDefault="008B4414" w:rsidP="008B4414">
      <w:pPr>
        <w:numPr>
          <w:ilvl w:val="0"/>
          <w:numId w:val="4"/>
        </w:numPr>
        <w:contextualSpacing/>
      </w:pPr>
      <w:r w:rsidRPr="00C13DBD">
        <w:t>Ensure Braille signage re evacuation routes for employees with visual impairments (Loy et al., 2006).</w:t>
      </w:r>
    </w:p>
    <w:p w14:paraId="5232FADD" w14:textId="77777777" w:rsidR="008B4414" w:rsidRPr="00C13DBD" w:rsidRDefault="008B4414" w:rsidP="008B4414">
      <w:pPr>
        <w:numPr>
          <w:ilvl w:val="0"/>
          <w:numId w:val="4"/>
        </w:numPr>
        <w:contextualSpacing/>
      </w:pPr>
      <w:r w:rsidRPr="00C13DBD">
        <w:t>Have alpha-numeric pagers to communicate with employees with speech impairments (Loy et al., 2006).</w:t>
      </w:r>
    </w:p>
    <w:p w14:paraId="08CECFD3" w14:textId="77777777" w:rsidR="008B4414" w:rsidRPr="00C13DBD" w:rsidRDefault="008B4414" w:rsidP="008B4414">
      <w:pPr>
        <w:numPr>
          <w:ilvl w:val="0"/>
          <w:numId w:val="4"/>
        </w:numPr>
        <w:contextualSpacing/>
      </w:pPr>
      <w:r w:rsidRPr="00C13DBD">
        <w:t>Include employees with disabilities in all drills (Rooney &amp; White, 2007).  If someone is too anxious (e.g., mental health disability), provide alternative education (Loy et al., 2006).</w:t>
      </w:r>
    </w:p>
    <w:p w14:paraId="01077579" w14:textId="77777777" w:rsidR="008B4414" w:rsidRDefault="008B4414" w:rsidP="00357D04">
      <w:pPr>
        <w:tabs>
          <w:tab w:val="left" w:pos="1701"/>
        </w:tabs>
        <w:spacing w:after="0"/>
        <w:rPr>
          <w:b/>
        </w:rPr>
      </w:pPr>
    </w:p>
    <w:p w14:paraId="16324FB1" w14:textId="77777777" w:rsidR="008B4414" w:rsidRDefault="008B4414" w:rsidP="00357D04">
      <w:pPr>
        <w:tabs>
          <w:tab w:val="left" w:pos="1701"/>
        </w:tabs>
        <w:spacing w:after="0"/>
        <w:rPr>
          <w:b/>
        </w:rPr>
      </w:pPr>
    </w:p>
    <w:p w14:paraId="2327FDA3" w14:textId="77777777" w:rsidR="00586C79" w:rsidRPr="00586C79" w:rsidRDefault="00357D04" w:rsidP="00357D04">
      <w:pPr>
        <w:tabs>
          <w:tab w:val="left" w:pos="1701"/>
        </w:tabs>
        <w:spacing w:after="0"/>
      </w:pPr>
      <w:r>
        <w:rPr>
          <w:b/>
        </w:rPr>
        <w:t>Additional Resources</w:t>
      </w:r>
    </w:p>
    <w:p w14:paraId="503A2E5E" w14:textId="77777777" w:rsidR="00A01E69" w:rsidRDefault="00A01E69" w:rsidP="00A01E69">
      <w:pPr>
        <w:pStyle w:val="ListParagraph"/>
        <w:numPr>
          <w:ilvl w:val="0"/>
          <w:numId w:val="7"/>
        </w:numPr>
        <w:ind w:left="567"/>
      </w:pPr>
    </w:p>
    <w:p w14:paraId="6311ADAA" w14:textId="77777777" w:rsidR="00A01E69" w:rsidRDefault="00A01E69" w:rsidP="00A01E69">
      <w:pPr>
        <w:pStyle w:val="ListParagraph"/>
        <w:numPr>
          <w:ilvl w:val="0"/>
          <w:numId w:val="7"/>
        </w:numPr>
        <w:ind w:left="567"/>
      </w:pPr>
      <w:r>
        <w:t xml:space="preserve">Job Accommodation Network   </w:t>
      </w:r>
      <w:hyperlink r:id="rId8" w:history="1">
        <w:r w:rsidRPr="00E72CDC">
          <w:rPr>
            <w:rStyle w:val="Hyperlink"/>
          </w:rPr>
          <w:t>https://askjan.org/</w:t>
        </w:r>
      </w:hyperlink>
      <w:r>
        <w:t xml:space="preserve"> </w:t>
      </w:r>
    </w:p>
    <w:p w14:paraId="38404F4A" w14:textId="77777777" w:rsidR="00A01E69" w:rsidRDefault="00A01E69" w:rsidP="00A01E69">
      <w:pPr>
        <w:spacing w:after="0"/>
        <w:ind w:left="567"/>
      </w:pPr>
      <w:r>
        <w:t>Workplace Emergency Planning for Employees with Disabilities (BC)</w:t>
      </w:r>
    </w:p>
    <w:p w14:paraId="162E9F61" w14:textId="77777777" w:rsidR="00A01E69" w:rsidRDefault="0035463F" w:rsidP="00A01E69">
      <w:pPr>
        <w:spacing w:after="0"/>
        <w:ind w:left="1134"/>
      </w:pPr>
      <w:hyperlink r:id="rId9" w:history="1">
        <w:r w:rsidR="00A01E69" w:rsidRPr="00D20ADC">
          <w:rPr>
            <w:rStyle w:val="Hyperlink"/>
          </w:rPr>
          <w:t>http://www.disabilityalliancebc.org/docs/ephandbook_lores.pdf?LanguageID=EN-US%20Workplace%20Emergency%20Planning%20for%20Workers</w:t>
        </w:r>
      </w:hyperlink>
      <w:r w:rsidR="00A01E69">
        <w:t xml:space="preserve"> </w:t>
      </w:r>
    </w:p>
    <w:p w14:paraId="15A50962" w14:textId="77777777" w:rsidR="00A01E69" w:rsidRDefault="00A01E69" w:rsidP="00A01E69">
      <w:pPr>
        <w:spacing w:after="0"/>
        <w:ind w:left="567"/>
      </w:pPr>
    </w:p>
    <w:p w14:paraId="7765B077" w14:textId="77777777" w:rsidR="00A334C4" w:rsidRDefault="00A334C4" w:rsidP="00A01E69">
      <w:pPr>
        <w:spacing w:after="0"/>
        <w:ind w:left="567"/>
      </w:pPr>
    </w:p>
    <w:p w14:paraId="132FCA75" w14:textId="77777777" w:rsidR="00A01E69" w:rsidRDefault="00A01E69" w:rsidP="00A01E69">
      <w:pPr>
        <w:spacing w:after="0"/>
        <w:ind w:left="567"/>
      </w:pPr>
      <w:r>
        <w:lastRenderedPageBreak/>
        <w:t>Workplace Emergency Preparedness Inclusive of People with Disabilities</w:t>
      </w:r>
    </w:p>
    <w:p w14:paraId="2B769C7C" w14:textId="77777777" w:rsidR="000B0081" w:rsidRDefault="0035463F" w:rsidP="000B0081">
      <w:pPr>
        <w:pStyle w:val="ListParagraph"/>
        <w:ind w:left="567"/>
      </w:pPr>
      <w:hyperlink r:id="rId10" w:history="1">
        <w:r w:rsidR="00A01E69" w:rsidRPr="00D20ADC">
          <w:rPr>
            <w:rStyle w:val="Hyperlink"/>
          </w:rPr>
          <w:t>http://www.disabilityalliancebc.org/docs/wsbc%20completed%20research%20report%20june%202008.pdf?LanguageID=EN-US</w:t>
        </w:r>
      </w:hyperlink>
      <w:r w:rsidR="00A01E69">
        <w:t xml:space="preserve"> </w:t>
      </w:r>
    </w:p>
    <w:p w14:paraId="005DFA72" w14:textId="77777777" w:rsidR="000B0081" w:rsidRDefault="000B0081" w:rsidP="000B0081">
      <w:pPr>
        <w:pStyle w:val="ListParagraph"/>
        <w:ind w:left="567"/>
      </w:pPr>
    </w:p>
    <w:p w14:paraId="305DA023" w14:textId="77777777" w:rsidR="000B0081" w:rsidRDefault="000B0081" w:rsidP="000B0081">
      <w:pPr>
        <w:pStyle w:val="ListParagraph"/>
        <w:ind w:left="567"/>
      </w:pPr>
      <w:r>
        <w:t>Disability specific guides for persons with Mobility, Cognitive, or Sensory disabilities (US)</w:t>
      </w:r>
    </w:p>
    <w:p w14:paraId="12D52574" w14:textId="77777777" w:rsidR="000B0081" w:rsidRDefault="0035463F" w:rsidP="000B0081">
      <w:pPr>
        <w:pStyle w:val="ListParagraph"/>
        <w:ind w:left="1276"/>
      </w:pPr>
      <w:hyperlink r:id="rId11" w:history="1">
        <w:r w:rsidR="000B0081" w:rsidRPr="00E72CDC">
          <w:rPr>
            <w:rStyle w:val="Hyperlink"/>
          </w:rPr>
          <w:t>https://www.disability.gov/resources-help-family-prepare-emergencies-disasters/</w:t>
        </w:r>
      </w:hyperlink>
      <w:r w:rsidR="000B0081">
        <w:t xml:space="preserve"> </w:t>
      </w:r>
    </w:p>
    <w:p w14:paraId="160A80A0" w14:textId="77777777" w:rsidR="00A01E69" w:rsidRDefault="00A01E69" w:rsidP="00A01E69">
      <w:pPr>
        <w:spacing w:after="0"/>
        <w:ind w:left="1134"/>
      </w:pPr>
    </w:p>
    <w:p w14:paraId="2BF5376B" w14:textId="77777777" w:rsidR="00357D04" w:rsidRPr="00357D04" w:rsidRDefault="00357D04" w:rsidP="00A01E69">
      <w:pPr>
        <w:contextualSpacing/>
      </w:pPr>
    </w:p>
    <w:p w14:paraId="795BCDAC" w14:textId="77777777" w:rsidR="00EE1F05" w:rsidRPr="00041253" w:rsidRDefault="00D43B37" w:rsidP="00EE1F05">
      <w:pPr>
        <w:rPr>
          <w:b/>
        </w:rPr>
      </w:pPr>
      <w:r w:rsidRPr="00D43B37">
        <w:rPr>
          <w:b/>
        </w:rPr>
        <w:t>References</w:t>
      </w:r>
    </w:p>
    <w:p w14:paraId="51EE3C77" w14:textId="77777777" w:rsidR="00041253" w:rsidRDefault="00041253" w:rsidP="002214FF">
      <w:pPr>
        <w:spacing w:after="0"/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>Al-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rousan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>, T. M., Rubenstein, L. M., &amp; Wallace, R. B. (2015). Preparedness for natural disasters among older US adults: A nationwide survey.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American Journal of Public Health, 105</w:t>
      </w:r>
      <w:r w:rsidRPr="009A3688">
        <w:rPr>
          <w:rFonts w:ascii="Times New Roman" w:hAnsi="Times New Roman" w:cs="Times New Roman"/>
          <w:color w:val="262626"/>
          <w:lang w:val="en-US"/>
        </w:rPr>
        <w:t>(S4), S621-S626. doi:10.2105/AJPH.2013.301559r</w:t>
      </w:r>
    </w:p>
    <w:p w14:paraId="3B927A2C" w14:textId="77777777" w:rsidR="002214FF" w:rsidRPr="009A3688" w:rsidRDefault="002214FF" w:rsidP="002214FF">
      <w:pPr>
        <w:spacing w:after="0"/>
        <w:ind w:left="567" w:hanging="567"/>
        <w:rPr>
          <w:rFonts w:ascii="Times New Roman" w:hAnsi="Times New Roman" w:cs="Times New Roman"/>
          <w:color w:val="262626"/>
          <w:lang w:val="en-US"/>
        </w:rPr>
      </w:pPr>
    </w:p>
    <w:p w14:paraId="7D65B4C2" w14:textId="77777777" w:rsidR="00041253" w:rsidRDefault="00041253" w:rsidP="00041253">
      <w:pPr>
        <w:spacing w:after="0"/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>Baker, L. R., &amp; Cormier, L. A. (2013). Disaster preparedness and families of children with special needs: A geographic comparison.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Journal of Community Health, 38</w:t>
      </w:r>
      <w:r w:rsidRPr="009A3688">
        <w:rPr>
          <w:rFonts w:ascii="Times New Roman" w:hAnsi="Times New Roman" w:cs="Times New Roman"/>
          <w:color w:val="262626"/>
          <w:lang w:val="en-US"/>
        </w:rPr>
        <w:t>(1), 106-112. doi:10.1007/s10900-012-9587-3</w:t>
      </w:r>
    </w:p>
    <w:p w14:paraId="41D48152" w14:textId="77777777" w:rsidR="00041253" w:rsidRDefault="00041253" w:rsidP="00041253">
      <w:pPr>
        <w:spacing w:after="0"/>
        <w:ind w:left="567" w:hanging="567"/>
        <w:rPr>
          <w:rFonts w:ascii="Times New Roman" w:hAnsi="Times New Roman" w:cs="Times New Roman"/>
          <w:color w:val="262626"/>
          <w:lang w:val="en-US"/>
        </w:rPr>
      </w:pPr>
    </w:p>
    <w:p w14:paraId="1071F099" w14:textId="77777777" w:rsidR="00041253" w:rsidRDefault="00041253" w:rsidP="00041253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9A3688">
        <w:rPr>
          <w:rFonts w:ascii="Times New Roman" w:hAnsi="Times New Roman" w:cs="Times New Roman"/>
          <w:lang w:val="en-US"/>
        </w:rPr>
        <w:t xml:space="preserve">Brodie, M., </w:t>
      </w:r>
      <w:proofErr w:type="spellStart"/>
      <w:r w:rsidRPr="009A3688">
        <w:rPr>
          <w:rFonts w:ascii="Times New Roman" w:hAnsi="Times New Roman" w:cs="Times New Roman"/>
          <w:lang w:val="en-US"/>
        </w:rPr>
        <w:t>Weltzien</w:t>
      </w:r>
      <w:proofErr w:type="spellEnd"/>
      <w:r w:rsidRPr="009A3688">
        <w:rPr>
          <w:rFonts w:ascii="Times New Roman" w:hAnsi="Times New Roman" w:cs="Times New Roman"/>
          <w:lang w:val="en-US"/>
        </w:rPr>
        <w:t xml:space="preserve">, E., Altman, D., </w:t>
      </w:r>
      <w:proofErr w:type="spellStart"/>
      <w:r w:rsidRPr="009A3688">
        <w:rPr>
          <w:rFonts w:ascii="Times New Roman" w:hAnsi="Times New Roman" w:cs="Times New Roman"/>
          <w:lang w:val="en-US"/>
        </w:rPr>
        <w:t>Blendon</w:t>
      </w:r>
      <w:proofErr w:type="spellEnd"/>
      <w:r w:rsidRPr="009A3688">
        <w:rPr>
          <w:rFonts w:ascii="Times New Roman" w:hAnsi="Times New Roman" w:cs="Times New Roman"/>
          <w:lang w:val="en-US"/>
        </w:rPr>
        <w:t xml:space="preserve">, R. J., &amp; Benson, J. M. (2006). Experiences of hurricane </w:t>
      </w:r>
      <w:r>
        <w:rPr>
          <w:rFonts w:ascii="Times New Roman" w:hAnsi="Times New Roman" w:cs="Times New Roman"/>
          <w:lang w:val="en-US"/>
        </w:rPr>
        <w:t>K</w:t>
      </w:r>
      <w:r w:rsidRPr="009A3688">
        <w:rPr>
          <w:rFonts w:ascii="Times New Roman" w:hAnsi="Times New Roman" w:cs="Times New Roman"/>
          <w:lang w:val="en-US"/>
        </w:rPr>
        <w:t xml:space="preserve">atrina evacuees in </w:t>
      </w:r>
      <w:r>
        <w:rPr>
          <w:rFonts w:ascii="Times New Roman" w:hAnsi="Times New Roman" w:cs="Times New Roman"/>
          <w:lang w:val="en-US"/>
        </w:rPr>
        <w:t>H</w:t>
      </w:r>
      <w:r w:rsidRPr="009A3688">
        <w:rPr>
          <w:rFonts w:ascii="Times New Roman" w:hAnsi="Times New Roman" w:cs="Times New Roman"/>
          <w:lang w:val="en-US"/>
        </w:rPr>
        <w:t>ouston shelters: Implications for future planning.</w:t>
      </w:r>
      <w:r w:rsidRPr="009A3688">
        <w:rPr>
          <w:rFonts w:ascii="Times New Roman" w:hAnsi="Times New Roman" w:cs="Times New Roman"/>
          <w:i/>
          <w:iCs/>
          <w:lang w:val="en-US"/>
        </w:rPr>
        <w:t xml:space="preserve"> American Journal of Public Health, 96</w:t>
      </w:r>
      <w:r w:rsidRPr="009A3688">
        <w:rPr>
          <w:rFonts w:ascii="Times New Roman" w:hAnsi="Times New Roman" w:cs="Times New Roman"/>
          <w:lang w:val="en-US"/>
        </w:rPr>
        <w:t>(8), 1402-1408. doi:10.2105/AJPH.2005.084475</w:t>
      </w:r>
    </w:p>
    <w:p w14:paraId="7E27CDD5" w14:textId="77777777" w:rsidR="00041253" w:rsidRPr="009A3688" w:rsidRDefault="00041253" w:rsidP="00041253">
      <w:pPr>
        <w:spacing w:after="0"/>
        <w:ind w:left="567" w:hanging="567"/>
        <w:rPr>
          <w:rFonts w:ascii="Times New Roman" w:hAnsi="Times New Roman" w:cs="Times New Roman"/>
          <w:lang w:val="en-US"/>
        </w:rPr>
      </w:pPr>
    </w:p>
    <w:p w14:paraId="581063AE" w14:textId="77777777"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002BC9">
        <w:rPr>
          <w:rFonts w:ascii="Times New Roman" w:hAnsi="Times New Roman" w:cs="Times New Roman"/>
          <w:color w:val="262626"/>
          <w:lang w:val="en-US"/>
        </w:rPr>
        <w:t>Federal report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 documents ex</w:t>
      </w:r>
      <w:r>
        <w:rPr>
          <w:rFonts w:ascii="Times New Roman" w:hAnsi="Times New Roman" w:cs="Times New Roman"/>
          <w:color w:val="262626"/>
          <w:lang w:val="en-US"/>
        </w:rPr>
        <w:t>tensive discrimination against K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atrina evacuees with psychiatric disabilities. (2006).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Psychiatric Services, 57</w:t>
      </w:r>
      <w:r w:rsidRPr="009A3688">
        <w:rPr>
          <w:rFonts w:ascii="Times New Roman" w:hAnsi="Times New Roman" w:cs="Times New Roman"/>
          <w:color w:val="262626"/>
          <w:lang w:val="en-US"/>
        </w:rPr>
        <w:t>(9), 1350-</w:t>
      </w:r>
      <w:r>
        <w:rPr>
          <w:rFonts w:ascii="Times New Roman" w:hAnsi="Times New Roman" w:cs="Times New Roman"/>
          <w:color w:val="262626"/>
          <w:lang w:val="en-US"/>
        </w:rPr>
        <w:t>135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1. </w:t>
      </w:r>
    </w:p>
    <w:p w14:paraId="07CCFB6E" w14:textId="77777777" w:rsidR="00041253" w:rsidRDefault="00041253" w:rsidP="00AD3818">
      <w:pPr>
        <w:ind w:left="720" w:hanging="720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 xml:space="preserve">Fox, M. H., White, G. W., Rooney, C., &amp; Rowland, J. L. (2007). Disaster preparedness and response for persons with mobility impairments: Results from the </w:t>
      </w:r>
      <w:r>
        <w:rPr>
          <w:rFonts w:ascii="Times New Roman" w:hAnsi="Times New Roman" w:cs="Times New Roman"/>
          <w:color w:val="262626"/>
          <w:lang w:val="en-US"/>
        </w:rPr>
        <w:t>U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niversity of </w:t>
      </w:r>
      <w:r>
        <w:rPr>
          <w:rFonts w:ascii="Times New Roman" w:hAnsi="Times New Roman" w:cs="Times New Roman"/>
          <w:color w:val="262626"/>
          <w:lang w:val="en-US"/>
        </w:rPr>
        <w:t>K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ansas </w:t>
      </w:r>
      <w:r>
        <w:rPr>
          <w:rFonts w:ascii="Times New Roman" w:hAnsi="Times New Roman" w:cs="Times New Roman"/>
          <w:color w:val="262626"/>
          <w:lang w:val="en-US"/>
        </w:rPr>
        <w:t>N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obody </w:t>
      </w:r>
      <w:r>
        <w:rPr>
          <w:rFonts w:ascii="Times New Roman" w:hAnsi="Times New Roman" w:cs="Times New Roman"/>
          <w:color w:val="262626"/>
          <w:lang w:val="en-US"/>
        </w:rPr>
        <w:t>L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eft </w:t>
      </w:r>
      <w:r>
        <w:rPr>
          <w:rFonts w:ascii="Times New Roman" w:hAnsi="Times New Roman" w:cs="Times New Roman"/>
          <w:color w:val="262626"/>
          <w:lang w:val="en-US"/>
        </w:rPr>
        <w:t>B</w:t>
      </w:r>
      <w:r w:rsidRPr="009A3688">
        <w:rPr>
          <w:rFonts w:ascii="Times New Roman" w:hAnsi="Times New Roman" w:cs="Times New Roman"/>
          <w:color w:val="262626"/>
          <w:lang w:val="en-US"/>
        </w:rPr>
        <w:t>ehind study.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Journal of Disability Policy Studies, 17</w:t>
      </w:r>
      <w:r w:rsidRPr="009A3688">
        <w:rPr>
          <w:rFonts w:ascii="Times New Roman" w:hAnsi="Times New Roman" w:cs="Times New Roman"/>
          <w:color w:val="262626"/>
          <w:lang w:val="en-US"/>
        </w:rPr>
        <w:t>(4), 196-205. doi:10.1177/10442073070170040201</w:t>
      </w:r>
    </w:p>
    <w:p w14:paraId="5DD6700B" w14:textId="77777777"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Hogaboom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 xml:space="preserve">, N. S., Oyster, M. L., Riggins, M. S., &amp;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Boninger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>, M. L. (2013). Evacuation preparedness in full-time wheelchair users with spinal cord injury.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The Journal of Spinal Cord Medicine, 36</w:t>
      </w:r>
      <w:r w:rsidRPr="009A3688">
        <w:rPr>
          <w:rFonts w:ascii="Times New Roman" w:hAnsi="Times New Roman" w:cs="Times New Roman"/>
          <w:color w:val="262626"/>
          <w:lang w:val="en-US"/>
        </w:rPr>
        <w:t>(4), 290-295. doi:10.1179/2045772312Y.0000000050</w:t>
      </w:r>
    </w:p>
    <w:p w14:paraId="069541F9" w14:textId="77777777"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2214FF">
        <w:rPr>
          <w:rFonts w:ascii="Times New Roman" w:hAnsi="Times New Roman" w:cs="Times New Roman"/>
          <w:color w:val="262626"/>
          <w:lang w:val="en-US"/>
        </w:rPr>
        <w:t>Jan, S., &amp; Lurie,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 N. (2012). Disaster resilience and people with functional needs.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New England </w:t>
      </w:r>
      <w:r>
        <w:rPr>
          <w:rFonts w:ascii="Times New Roman" w:hAnsi="Times New Roman" w:cs="Times New Roman"/>
          <w:i/>
          <w:iCs/>
          <w:color w:val="262626"/>
          <w:lang w:val="en-US"/>
        </w:rPr>
        <w:t>J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ournal of </w:t>
      </w:r>
      <w:r>
        <w:rPr>
          <w:rFonts w:ascii="Times New Roman" w:hAnsi="Times New Roman" w:cs="Times New Roman"/>
          <w:i/>
          <w:iCs/>
          <w:color w:val="262626"/>
          <w:lang w:val="en-US"/>
        </w:rPr>
        <w:t>M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edicine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,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367</w:t>
      </w:r>
      <w:r w:rsidRPr="009A3688">
        <w:rPr>
          <w:rFonts w:ascii="Times New Roman" w:hAnsi="Times New Roman" w:cs="Times New Roman"/>
          <w:color w:val="262626"/>
          <w:lang w:val="en-US"/>
        </w:rPr>
        <w:t>(24), 2272-2273.</w:t>
      </w:r>
    </w:p>
    <w:p w14:paraId="2710971E" w14:textId="77777777" w:rsidR="00041253" w:rsidRDefault="00041253" w:rsidP="00041253">
      <w:pPr>
        <w:ind w:left="709" w:hanging="720"/>
        <w:rPr>
          <w:rFonts w:ascii="Times New Roman" w:hAnsi="Times New Roman" w:cs="Times New Roman"/>
          <w:color w:val="262626"/>
          <w:lang w:val="en-US"/>
        </w:rPr>
      </w:pP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Levac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 xml:space="preserve">, J.,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Toal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>-Sullivan, D., &amp; O</w:t>
      </w:r>
      <w:r>
        <w:rPr>
          <w:rFonts w:ascii="Times New Roman" w:hAnsi="Times New Roman" w:cs="Times New Roman"/>
          <w:color w:val="262626"/>
          <w:lang w:val="en-US"/>
        </w:rPr>
        <w:t>’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Sullivan, T. L. (2012). Household emergency preparedness: </w:t>
      </w:r>
      <w:r>
        <w:rPr>
          <w:rFonts w:ascii="Times New Roman" w:hAnsi="Times New Roman" w:cs="Times New Roman"/>
          <w:color w:val="262626"/>
          <w:lang w:val="en-US"/>
        </w:rPr>
        <w:t>A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 literature review.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Journal of </w:t>
      </w:r>
      <w:r>
        <w:rPr>
          <w:rFonts w:ascii="Times New Roman" w:hAnsi="Times New Roman" w:cs="Times New Roman"/>
          <w:i/>
          <w:iCs/>
          <w:color w:val="262626"/>
          <w:lang w:val="en-US"/>
        </w:rPr>
        <w:t>C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ommunity </w:t>
      </w:r>
      <w:r>
        <w:rPr>
          <w:rFonts w:ascii="Times New Roman" w:hAnsi="Times New Roman" w:cs="Times New Roman"/>
          <w:i/>
          <w:iCs/>
          <w:color w:val="262626"/>
          <w:lang w:val="en-US"/>
        </w:rPr>
        <w:t>H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ealth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,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37</w:t>
      </w:r>
      <w:r w:rsidRPr="009A3688">
        <w:rPr>
          <w:rFonts w:ascii="Times New Roman" w:hAnsi="Times New Roman" w:cs="Times New Roman"/>
          <w:color w:val="262626"/>
          <w:lang w:val="en-US"/>
        </w:rPr>
        <w:t>(3), 725-733.</w:t>
      </w:r>
    </w:p>
    <w:p w14:paraId="42823370" w14:textId="77777777"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>Loy, B., Hirsh, A., &amp; Batiste, L. C. (2006). Including employees with disabilities in emergency evacuation plans: 9/11's effect on the demand for information.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Work, 27</w:t>
      </w:r>
      <w:r w:rsidRPr="009A3688">
        <w:rPr>
          <w:rFonts w:ascii="Times New Roman" w:hAnsi="Times New Roman" w:cs="Times New Roman"/>
          <w:color w:val="262626"/>
          <w:lang w:val="en-US"/>
        </w:rPr>
        <w:t>(4), 407.</w:t>
      </w:r>
    </w:p>
    <w:p w14:paraId="17FC2BDA" w14:textId="77777777"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 xml:space="preserve">McClure, L. A.,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Boninger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 xml:space="preserve">, M. L., Oyster, M. L., Roach, M. J., Nagy, J., &amp;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Nemunaitis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>, G. (2011). Emergency evacuation readiness of full-time wheelchair users with spinal cord injury.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Archives of Physical Medicine and Rehabilitation, 92</w:t>
      </w:r>
      <w:r w:rsidRPr="009A3688">
        <w:rPr>
          <w:rFonts w:ascii="Times New Roman" w:hAnsi="Times New Roman" w:cs="Times New Roman"/>
          <w:color w:val="262626"/>
          <w:lang w:val="en-US"/>
        </w:rPr>
        <w:t>(3), 491-498. doi:10.1016/j.apmr.2010.08.030</w:t>
      </w:r>
    </w:p>
    <w:p w14:paraId="402B0DB5" w14:textId="77777777"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lastRenderedPageBreak/>
        <w:t>Murray, J. S. (2011). Disaster preparedness for children with special healthcare needs and disabilities.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Journal for Specialists in Pediatric Nursing, 16</w:t>
      </w:r>
      <w:r w:rsidRPr="009A3688">
        <w:rPr>
          <w:rFonts w:ascii="Times New Roman" w:hAnsi="Times New Roman" w:cs="Times New Roman"/>
          <w:color w:val="262626"/>
          <w:lang w:val="en-US"/>
        </w:rPr>
        <w:t>(3), 226-232. doi:10.1111/j.1744-6155.2011.00293.x</w:t>
      </w:r>
    </w:p>
    <w:p w14:paraId="4EB9A57B" w14:textId="77777777"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>Rooney, C., &amp; White, G. W. (2007). Consumer perspective: Narrative analysis of a disaster preparedness and emergency response survey from persons with mobility impairments.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Journal of Disability Policy Studies, 17</w:t>
      </w:r>
      <w:r w:rsidRPr="009A3688">
        <w:rPr>
          <w:rFonts w:ascii="Times New Roman" w:hAnsi="Times New Roman" w:cs="Times New Roman"/>
          <w:color w:val="262626"/>
          <w:lang w:val="en-US"/>
        </w:rPr>
        <w:t>(4), 206-215. doi:10.1177/10442073070170040301</w:t>
      </w:r>
    </w:p>
    <w:p w14:paraId="430E3986" w14:textId="77777777"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 xml:space="preserve">Rothman, M., &amp; Brown, L. (2007). The vulnerable geriatric casualty: </w:t>
      </w:r>
      <w:r>
        <w:rPr>
          <w:rFonts w:ascii="Times New Roman" w:hAnsi="Times New Roman" w:cs="Times New Roman"/>
          <w:color w:val="262626"/>
          <w:lang w:val="en-US"/>
        </w:rPr>
        <w:t>M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edical needs of frail older adults during disasters.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Generations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,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31</w:t>
      </w:r>
      <w:r w:rsidRPr="009A3688">
        <w:rPr>
          <w:rFonts w:ascii="Times New Roman" w:hAnsi="Times New Roman" w:cs="Times New Roman"/>
          <w:color w:val="262626"/>
          <w:lang w:val="en-US"/>
        </w:rPr>
        <w:t>(4), 16-20.</w:t>
      </w:r>
    </w:p>
    <w:p w14:paraId="13C19B5B" w14:textId="77777777" w:rsidR="00041253" w:rsidRDefault="00041253" w:rsidP="00041253">
      <w:pPr>
        <w:ind w:left="720" w:hanging="720"/>
        <w:rPr>
          <w:rFonts w:ascii="Times New Roman" w:hAnsi="Times New Roman" w:cs="Times New Roman"/>
          <w:color w:val="262626"/>
          <w:lang w:val="en-US"/>
        </w:rPr>
      </w:pPr>
      <w:r>
        <w:rPr>
          <w:rFonts w:ascii="Times New Roman" w:hAnsi="Times New Roman" w:cs="Times New Roman"/>
          <w:color w:val="262626"/>
          <w:lang w:val="en-US"/>
        </w:rPr>
        <w:t xml:space="preserve">Rushford, N. (2015). Lost in the mix: A case for inclusive and participatory approaches to disaster and development. In N. Rushford &amp; K. Thomas (Eds.,) </w:t>
      </w:r>
      <w:r>
        <w:rPr>
          <w:rFonts w:ascii="Times New Roman" w:hAnsi="Times New Roman" w:cs="Times New Roman"/>
          <w:i/>
          <w:color w:val="262626"/>
          <w:lang w:val="en-US"/>
        </w:rPr>
        <w:t xml:space="preserve">Disaster and development: An occupational therapy perspective </w:t>
      </w:r>
      <w:r>
        <w:rPr>
          <w:rFonts w:ascii="Times New Roman" w:hAnsi="Times New Roman" w:cs="Times New Roman"/>
          <w:color w:val="262626"/>
          <w:lang w:val="en-US"/>
        </w:rPr>
        <w:t xml:space="preserve">(pp.41-49). Edinburgh: Elsevier. </w:t>
      </w:r>
    </w:p>
    <w:p w14:paraId="0571A517" w14:textId="77777777"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 xml:space="preserve">Smith, D. L., &amp;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Notaro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>, S. J. (2009). Personal emergency preparedness for people with disabilities from the 2006-2007 behavioral risk factor surveillance system.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 xml:space="preserve"> Disability and Health Journal, 2</w:t>
      </w:r>
      <w:r w:rsidRPr="009A3688">
        <w:rPr>
          <w:rFonts w:ascii="Times New Roman" w:hAnsi="Times New Roman" w:cs="Times New Roman"/>
          <w:color w:val="262626"/>
          <w:lang w:val="en-US"/>
        </w:rPr>
        <w:t>(2), 86-94. doi:10.1016/j.dhjo.2009.01.001</w:t>
      </w:r>
    </w:p>
    <w:p w14:paraId="73D70B37" w14:textId="77777777"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r w:rsidRPr="009A3688">
        <w:rPr>
          <w:rFonts w:ascii="Times New Roman" w:hAnsi="Times New Roman" w:cs="Times New Roman"/>
          <w:color w:val="262626"/>
          <w:lang w:val="en-US"/>
        </w:rPr>
        <w:t xml:space="preserve">Spence, P. R., Lachlan, K., Burke, J. M., &amp; Seeger, M. W. (2007). Media use and information needs of the disabled during a natural disaster.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Journal of health care for the poor and underserved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, </w:t>
      </w:r>
      <w:r w:rsidRPr="009A3688">
        <w:rPr>
          <w:rFonts w:ascii="Times New Roman" w:hAnsi="Times New Roman" w:cs="Times New Roman"/>
          <w:i/>
          <w:iCs/>
          <w:color w:val="262626"/>
          <w:lang w:val="en-US"/>
        </w:rPr>
        <w:t>18</w:t>
      </w:r>
      <w:r w:rsidRPr="009A3688">
        <w:rPr>
          <w:rFonts w:ascii="Times New Roman" w:hAnsi="Times New Roman" w:cs="Times New Roman"/>
          <w:color w:val="262626"/>
          <w:lang w:val="en-US"/>
        </w:rPr>
        <w:t>(2), 394-404.</w:t>
      </w:r>
    </w:p>
    <w:p w14:paraId="1BD62F19" w14:textId="77777777" w:rsidR="00041253" w:rsidRDefault="00041253" w:rsidP="00041253">
      <w:pPr>
        <w:ind w:left="567" w:hanging="567"/>
        <w:rPr>
          <w:rFonts w:ascii="Times New Roman" w:hAnsi="Times New Roman" w:cs="Times New Roman"/>
          <w:color w:val="262626"/>
          <w:lang w:val="en-US"/>
        </w:rPr>
      </w:pP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Tomio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>, J., Sato, H.</w:t>
      </w:r>
      <w:r>
        <w:rPr>
          <w:rFonts w:ascii="Times New Roman" w:hAnsi="Times New Roman" w:cs="Times New Roman"/>
          <w:color w:val="262626"/>
          <w:lang w:val="en-US"/>
        </w:rPr>
        <w:t>,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 &amp; </w:t>
      </w:r>
      <w:proofErr w:type="spellStart"/>
      <w:r w:rsidRPr="009A3688">
        <w:rPr>
          <w:rFonts w:ascii="Times New Roman" w:hAnsi="Times New Roman" w:cs="Times New Roman"/>
          <w:color w:val="262626"/>
          <w:lang w:val="en-US"/>
        </w:rPr>
        <w:t>Mizumura</w:t>
      </w:r>
      <w:proofErr w:type="spellEnd"/>
      <w:r w:rsidRPr="009A3688">
        <w:rPr>
          <w:rFonts w:ascii="Times New Roman" w:hAnsi="Times New Roman" w:cs="Times New Roman"/>
          <w:color w:val="262626"/>
          <w:lang w:val="en-US"/>
        </w:rPr>
        <w:t xml:space="preserve">, H. </w:t>
      </w:r>
      <w:r>
        <w:rPr>
          <w:rFonts w:ascii="Times New Roman" w:hAnsi="Times New Roman" w:cs="Times New Roman"/>
          <w:color w:val="262626"/>
          <w:lang w:val="en-US"/>
        </w:rPr>
        <w:t xml:space="preserve">(2012). </w:t>
      </w:r>
      <w:r w:rsidRPr="009A3688">
        <w:rPr>
          <w:rFonts w:ascii="Times New Roman" w:hAnsi="Times New Roman" w:cs="Times New Roman"/>
          <w:color w:val="262626"/>
          <w:lang w:val="en-US"/>
        </w:rPr>
        <w:t>Disparity in disaster preparedness among rheumatoid arthritis patients with various general health, functional, and disability conditions. Environmental Health Prevention Medicine</w:t>
      </w:r>
      <w:r>
        <w:rPr>
          <w:rFonts w:ascii="Times New Roman" w:hAnsi="Times New Roman" w:cs="Times New Roman"/>
          <w:color w:val="262626"/>
          <w:lang w:val="en-US"/>
        </w:rPr>
        <w:t>,</w:t>
      </w:r>
      <w:r w:rsidRPr="009A3688">
        <w:rPr>
          <w:rFonts w:ascii="Times New Roman" w:hAnsi="Times New Roman" w:cs="Times New Roman"/>
          <w:color w:val="262626"/>
          <w:lang w:val="en-US"/>
        </w:rPr>
        <w:t xml:space="preserve"> </w:t>
      </w:r>
      <w:r w:rsidRPr="009A3688">
        <w:rPr>
          <w:rFonts w:ascii="Times New Roman" w:hAnsi="Times New Roman" w:cs="Times New Roman"/>
          <w:i/>
          <w:color w:val="262626"/>
          <w:lang w:val="en-US"/>
        </w:rPr>
        <w:t>17</w:t>
      </w:r>
      <w:r w:rsidRPr="009A3688">
        <w:rPr>
          <w:rFonts w:ascii="Times New Roman" w:hAnsi="Times New Roman" w:cs="Times New Roman"/>
          <w:color w:val="262626"/>
          <w:lang w:val="en-US"/>
        </w:rPr>
        <w:t>(4), 322–331. doi:10.1007/s12199-011-0257-3</w:t>
      </w:r>
    </w:p>
    <w:p w14:paraId="02D99E23" w14:textId="77777777" w:rsidR="00041253" w:rsidRPr="00E719BD" w:rsidRDefault="00041253" w:rsidP="00041253">
      <w:pPr>
        <w:rPr>
          <w:rFonts w:ascii="Times New Roman" w:hAnsi="Times New Roman" w:cs="Times New Roman"/>
        </w:rPr>
      </w:pPr>
    </w:p>
    <w:p w14:paraId="71946633" w14:textId="77777777" w:rsidR="00EE1F05" w:rsidRPr="00E719BD" w:rsidRDefault="00EE1F05" w:rsidP="00EE1F05">
      <w:pPr>
        <w:rPr>
          <w:rFonts w:ascii="Times New Roman" w:hAnsi="Times New Roman" w:cs="Times New Roman"/>
        </w:rPr>
      </w:pPr>
    </w:p>
    <w:p w14:paraId="6521A94A" w14:textId="77777777" w:rsidR="00EE1F05" w:rsidRDefault="00EE1F05" w:rsidP="00DD231B">
      <w:pPr>
        <w:rPr>
          <w:b/>
        </w:rPr>
      </w:pPr>
    </w:p>
    <w:sectPr w:rsidR="00EE1F05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74130" w14:textId="77777777" w:rsidR="0035463F" w:rsidRDefault="0035463F" w:rsidP="000C673D">
      <w:pPr>
        <w:spacing w:after="0" w:line="240" w:lineRule="auto"/>
      </w:pPr>
      <w:r>
        <w:separator/>
      </w:r>
    </w:p>
  </w:endnote>
  <w:endnote w:type="continuationSeparator" w:id="0">
    <w:p w14:paraId="4D3FDBBA" w14:textId="77777777" w:rsidR="0035463F" w:rsidRDefault="0035463F" w:rsidP="000C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825A8" w14:textId="77777777" w:rsidR="0035463F" w:rsidRDefault="0035463F" w:rsidP="000C673D">
      <w:pPr>
        <w:spacing w:after="0" w:line="240" w:lineRule="auto"/>
      </w:pPr>
      <w:r>
        <w:separator/>
      </w:r>
    </w:p>
  </w:footnote>
  <w:footnote w:type="continuationSeparator" w:id="0">
    <w:p w14:paraId="57C85253" w14:textId="77777777" w:rsidR="0035463F" w:rsidRDefault="0035463F" w:rsidP="000C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17FE104B" w14:textId="77777777" w:rsidR="000C673D" w:rsidRDefault="000C673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E7300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E7300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8C3C1B3" w14:textId="77777777" w:rsidR="000C673D" w:rsidRDefault="000C6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02C"/>
    <w:multiLevelType w:val="hybridMultilevel"/>
    <w:tmpl w:val="F3FCB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5775"/>
    <w:multiLevelType w:val="hybridMultilevel"/>
    <w:tmpl w:val="DF762EC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6916"/>
    <w:multiLevelType w:val="hybridMultilevel"/>
    <w:tmpl w:val="8EBAE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24A14"/>
    <w:multiLevelType w:val="hybridMultilevel"/>
    <w:tmpl w:val="ACCA5358"/>
    <w:lvl w:ilvl="0" w:tplc="00000001">
      <w:start w:val="1"/>
      <w:numFmt w:val="bullet"/>
      <w:lvlText w:val=""/>
      <w:lvlJc w:val="left"/>
      <w:pPr>
        <w:ind w:left="108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5284"/>
    <w:multiLevelType w:val="hybridMultilevel"/>
    <w:tmpl w:val="C77EEAE0"/>
    <w:lvl w:ilvl="0" w:tplc="6C1CE05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21BA5"/>
    <w:multiLevelType w:val="hybridMultilevel"/>
    <w:tmpl w:val="93CC6F3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458A0"/>
    <w:multiLevelType w:val="hybridMultilevel"/>
    <w:tmpl w:val="892AB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1141A"/>
    <w:multiLevelType w:val="hybridMultilevel"/>
    <w:tmpl w:val="D9D0A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E3366"/>
    <w:multiLevelType w:val="hybridMultilevel"/>
    <w:tmpl w:val="4F3880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736A11"/>
    <w:multiLevelType w:val="hybridMultilevel"/>
    <w:tmpl w:val="AA5AF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9579F"/>
    <w:multiLevelType w:val="hybridMultilevel"/>
    <w:tmpl w:val="16F64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Z+1dLoAiC1Pm5JKHHwNIsKRISQgV23HM5J+T9F3Z0TFiod6/OE5q9uVfReUQnZdt+SYeM+NLpq7+JutWFAB5w==" w:salt="VcU4glTdZSfftis94iuw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1B"/>
    <w:rsid w:val="00012C30"/>
    <w:rsid w:val="00017892"/>
    <w:rsid w:val="00041253"/>
    <w:rsid w:val="00051440"/>
    <w:rsid w:val="0006259F"/>
    <w:rsid w:val="000748DA"/>
    <w:rsid w:val="000A6D72"/>
    <w:rsid w:val="000B0081"/>
    <w:rsid w:val="000C0531"/>
    <w:rsid w:val="000C673D"/>
    <w:rsid w:val="001521E0"/>
    <w:rsid w:val="00163E21"/>
    <w:rsid w:val="0017126A"/>
    <w:rsid w:val="00190EBC"/>
    <w:rsid w:val="001F42CE"/>
    <w:rsid w:val="001F5858"/>
    <w:rsid w:val="002214FF"/>
    <w:rsid w:val="0029615C"/>
    <w:rsid w:val="002D0A30"/>
    <w:rsid w:val="00337A4F"/>
    <w:rsid w:val="0035463F"/>
    <w:rsid w:val="00357D04"/>
    <w:rsid w:val="00366CB0"/>
    <w:rsid w:val="00375FD1"/>
    <w:rsid w:val="00383660"/>
    <w:rsid w:val="00385161"/>
    <w:rsid w:val="003F7017"/>
    <w:rsid w:val="00422BCE"/>
    <w:rsid w:val="00432DAB"/>
    <w:rsid w:val="00467A87"/>
    <w:rsid w:val="00494804"/>
    <w:rsid w:val="004F017F"/>
    <w:rsid w:val="004F495D"/>
    <w:rsid w:val="00513BC6"/>
    <w:rsid w:val="00541A8D"/>
    <w:rsid w:val="0056452A"/>
    <w:rsid w:val="00576D8A"/>
    <w:rsid w:val="00586C79"/>
    <w:rsid w:val="00587EFF"/>
    <w:rsid w:val="00592FAE"/>
    <w:rsid w:val="005A5572"/>
    <w:rsid w:val="005C40EB"/>
    <w:rsid w:val="005E2B9E"/>
    <w:rsid w:val="0061305C"/>
    <w:rsid w:val="00620250"/>
    <w:rsid w:val="00624F4B"/>
    <w:rsid w:val="00653ACE"/>
    <w:rsid w:val="0067539E"/>
    <w:rsid w:val="00684E39"/>
    <w:rsid w:val="007012D3"/>
    <w:rsid w:val="007465F2"/>
    <w:rsid w:val="00771CB2"/>
    <w:rsid w:val="007A44E5"/>
    <w:rsid w:val="007C31F8"/>
    <w:rsid w:val="007E70F7"/>
    <w:rsid w:val="007F48A9"/>
    <w:rsid w:val="007F76D1"/>
    <w:rsid w:val="00811A98"/>
    <w:rsid w:val="008326B1"/>
    <w:rsid w:val="0086029F"/>
    <w:rsid w:val="00877017"/>
    <w:rsid w:val="00887BBB"/>
    <w:rsid w:val="008966CD"/>
    <w:rsid w:val="008B4414"/>
    <w:rsid w:val="008C5783"/>
    <w:rsid w:val="008F3D79"/>
    <w:rsid w:val="00942E15"/>
    <w:rsid w:val="009635EF"/>
    <w:rsid w:val="009975C7"/>
    <w:rsid w:val="009A055B"/>
    <w:rsid w:val="009A692D"/>
    <w:rsid w:val="009C05B8"/>
    <w:rsid w:val="009C0942"/>
    <w:rsid w:val="009C3648"/>
    <w:rsid w:val="009F0F5C"/>
    <w:rsid w:val="00A01E69"/>
    <w:rsid w:val="00A242E9"/>
    <w:rsid w:val="00A334C4"/>
    <w:rsid w:val="00A44AA7"/>
    <w:rsid w:val="00A45B0D"/>
    <w:rsid w:val="00A840DA"/>
    <w:rsid w:val="00A869AE"/>
    <w:rsid w:val="00AB789C"/>
    <w:rsid w:val="00AD3818"/>
    <w:rsid w:val="00AE6D31"/>
    <w:rsid w:val="00B01AD9"/>
    <w:rsid w:val="00B6662D"/>
    <w:rsid w:val="00B74FA6"/>
    <w:rsid w:val="00B817A7"/>
    <w:rsid w:val="00B846F2"/>
    <w:rsid w:val="00BA3D55"/>
    <w:rsid w:val="00C0141A"/>
    <w:rsid w:val="00C26A20"/>
    <w:rsid w:val="00C54DD3"/>
    <w:rsid w:val="00C76F52"/>
    <w:rsid w:val="00C770F4"/>
    <w:rsid w:val="00CC0829"/>
    <w:rsid w:val="00CC4CCB"/>
    <w:rsid w:val="00CD5FB0"/>
    <w:rsid w:val="00CF2588"/>
    <w:rsid w:val="00D13519"/>
    <w:rsid w:val="00D15454"/>
    <w:rsid w:val="00D21918"/>
    <w:rsid w:val="00D43B37"/>
    <w:rsid w:val="00D501DC"/>
    <w:rsid w:val="00D71D37"/>
    <w:rsid w:val="00D84B21"/>
    <w:rsid w:val="00D910BF"/>
    <w:rsid w:val="00DC1B5D"/>
    <w:rsid w:val="00DC2CC4"/>
    <w:rsid w:val="00DD231B"/>
    <w:rsid w:val="00DD6061"/>
    <w:rsid w:val="00DE7300"/>
    <w:rsid w:val="00DE7D90"/>
    <w:rsid w:val="00DF42C5"/>
    <w:rsid w:val="00E131FD"/>
    <w:rsid w:val="00E33FFD"/>
    <w:rsid w:val="00E50868"/>
    <w:rsid w:val="00E82CBB"/>
    <w:rsid w:val="00E952A9"/>
    <w:rsid w:val="00EB77C6"/>
    <w:rsid w:val="00ED3EB8"/>
    <w:rsid w:val="00EE1F05"/>
    <w:rsid w:val="00F04E4F"/>
    <w:rsid w:val="00F169AE"/>
    <w:rsid w:val="00F20BFA"/>
    <w:rsid w:val="00F55CE4"/>
    <w:rsid w:val="00F566EC"/>
    <w:rsid w:val="00F56DFD"/>
    <w:rsid w:val="00FA055E"/>
    <w:rsid w:val="00FD36CC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0488"/>
  <w15:chartTrackingRefBased/>
  <w15:docId w15:val="{3A7923D4-3D8D-45C5-A9E0-9C2852C7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6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3D"/>
  </w:style>
  <w:style w:type="paragraph" w:styleId="Footer">
    <w:name w:val="footer"/>
    <w:basedOn w:val="Normal"/>
    <w:link w:val="FooterChar"/>
    <w:uiPriority w:val="99"/>
    <w:unhideWhenUsed/>
    <w:rsid w:val="000C6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3D"/>
  </w:style>
  <w:style w:type="character" w:styleId="CommentReference">
    <w:name w:val="annotation reference"/>
    <w:basedOn w:val="DefaultParagraphFont"/>
    <w:uiPriority w:val="99"/>
    <w:semiHidden/>
    <w:unhideWhenUsed/>
    <w:rsid w:val="00586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C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jan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sability.gov/resources-help-family-prepare-emergencies-disaster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isabilityalliancebc.org/docs/wsbc%20completed%20research%20report%20june%202008.pdf?LanguageID=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abilityalliancebc.org/docs/ephandbook_lores.pdf?LanguageID=EN-US%20Workplace%20Emergency%20Planning%20for%20Work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7789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cp:lastPrinted>2017-05-16T17:51:00Z</cp:lastPrinted>
  <dcterms:created xsi:type="dcterms:W3CDTF">2018-07-20T16:59:00Z</dcterms:created>
  <dcterms:modified xsi:type="dcterms:W3CDTF">2018-07-20T16:59:00Z</dcterms:modified>
</cp:coreProperties>
</file>